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D28EB" w14:textId="230FD2DA" w:rsidR="00522926" w:rsidRPr="006F049A" w:rsidRDefault="006F049A">
      <w:pPr>
        <w:rPr>
          <w:b/>
          <w:bCs/>
        </w:rPr>
      </w:pPr>
      <w:r w:rsidRPr="006F049A">
        <w:rPr>
          <w:b/>
          <w:bCs/>
        </w:rPr>
        <w:t>Neurodiverse</w:t>
      </w:r>
    </w:p>
    <w:p w14:paraId="1B05B4E8" w14:textId="4A827AE6" w:rsidR="006F049A" w:rsidRDefault="00000000">
      <w:hyperlink r:id="rId4" w:history="1">
        <w:r w:rsidR="006F049A">
          <w:rPr>
            <w:rStyle w:val="Hyperlink"/>
          </w:rPr>
          <w:t>Managing a neurodiverse workforce | APS</w:t>
        </w:r>
      </w:hyperlink>
    </w:p>
    <w:p w14:paraId="5B0FD449" w14:textId="0A6DF7D5" w:rsidR="006F049A" w:rsidRDefault="006F049A">
      <w:r>
        <w:t>Great article - good examples of how we can make this work.</w:t>
      </w:r>
      <w:r>
        <w:br/>
        <w:t>Leaders can best support these individuals and often benefits of their work</w:t>
      </w:r>
    </w:p>
    <w:p w14:paraId="27BFD30C" w14:textId="0F2FC9C8" w:rsidR="006F049A" w:rsidRDefault="00000000">
      <w:hyperlink r:id="rId5" w:history="1">
        <w:r w:rsidR="006F049A">
          <w:rPr>
            <w:rStyle w:val="Hyperlink"/>
          </w:rPr>
          <w:t>NDSW Home page - The Neurodiverse Safe Work Initiative</w:t>
        </w:r>
      </w:hyperlink>
    </w:p>
    <w:p w14:paraId="7C151F39" w14:textId="72C84896" w:rsidR="006F049A" w:rsidRDefault="00000000">
      <w:hyperlink r:id="rId6" w:history="1">
        <w:r w:rsidR="006F049A">
          <w:rPr>
            <w:rStyle w:val="Hyperlink"/>
          </w:rPr>
          <w:t>Institute of Community Directors Australia | Burnout risk for…</w:t>
        </w:r>
      </w:hyperlink>
    </w:p>
    <w:p w14:paraId="6E3C27AB" w14:textId="77777777" w:rsidR="006F049A" w:rsidRDefault="006F049A"/>
    <w:p w14:paraId="0988358D" w14:textId="0E918E81" w:rsidR="006F049A" w:rsidRDefault="006F049A">
      <w:r>
        <w:t>Common causes of conflict – see Transforming Norm – Communication, Mood etc.</w:t>
      </w:r>
      <w:r>
        <w:br/>
      </w:r>
    </w:p>
    <w:p w14:paraId="11E8404D" w14:textId="1E93D4AD" w:rsidR="006F049A" w:rsidRDefault="006F049A">
      <w:r>
        <w:t>Job crafting seen as a helpful solution for neurodiverse employees – recognised control of choice for psychosocial risks @ - good starting point.</w:t>
      </w:r>
    </w:p>
    <w:p w14:paraId="06BE8716" w14:textId="77777777" w:rsidR="006F049A" w:rsidRDefault="006F049A"/>
    <w:sectPr w:rsidR="006F04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49A"/>
    <w:rsid w:val="0006689F"/>
    <w:rsid w:val="00522926"/>
    <w:rsid w:val="006F049A"/>
    <w:rsid w:val="00732ED5"/>
    <w:rsid w:val="00881B21"/>
    <w:rsid w:val="00957C4D"/>
    <w:rsid w:val="00F1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448FB"/>
  <w15:chartTrackingRefBased/>
  <w15:docId w15:val="{BF52647C-7EDF-4039-B82B-A1492EB5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4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4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4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4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4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4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4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4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04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4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4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F04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mmunitydirectors.com.au/articles/burnout-risk-for-neurodivergent-workers-report" TargetMode="External"/><Relationship Id="rId5" Type="http://schemas.openxmlformats.org/officeDocument/2006/relationships/hyperlink" Target="https://www.neurodiversesafework.com.au/" TargetMode="External"/><Relationship Id="rId4" Type="http://schemas.openxmlformats.org/officeDocument/2006/relationships/hyperlink" Target="https://psychology.org.au/insights/managing-a-neurodiverse-workf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4</cp:revision>
  <dcterms:created xsi:type="dcterms:W3CDTF">2025-07-17T05:57:00Z</dcterms:created>
  <dcterms:modified xsi:type="dcterms:W3CDTF">2025-08-19T02:29:00Z</dcterms:modified>
</cp:coreProperties>
</file>