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7655"/>
        <w:gridCol w:w="1620"/>
      </w:tblGrid>
      <w:tr w:rsidR="00AF061A" w:rsidRPr="00AF061A" w14:paraId="5974A0A7" w14:textId="77777777" w:rsidTr="000B17F9">
        <w:tc>
          <w:tcPr>
            <w:tcW w:w="4673" w:type="dxa"/>
          </w:tcPr>
          <w:p w14:paraId="4B79B40E" w14:textId="77777777" w:rsidR="00AF061A" w:rsidRPr="00AF061A" w:rsidRDefault="00AF061A" w:rsidP="00AF061A">
            <w:pPr>
              <w:rPr>
                <w:b/>
                <w:bCs/>
              </w:rPr>
            </w:pPr>
          </w:p>
        </w:tc>
        <w:tc>
          <w:tcPr>
            <w:tcW w:w="7655" w:type="dxa"/>
          </w:tcPr>
          <w:p w14:paraId="16FD6B02" w14:textId="200B3EC9" w:rsidR="00AF061A" w:rsidRPr="00AF061A" w:rsidRDefault="00AF061A" w:rsidP="0008455E">
            <w:pPr>
              <w:jc w:val="center"/>
              <w:rPr>
                <w:b/>
                <w:bCs/>
              </w:rPr>
            </w:pPr>
            <w:r w:rsidRPr="00AF061A">
              <w:rPr>
                <w:b/>
                <w:bCs/>
              </w:rPr>
              <w:t>WHAT</w:t>
            </w:r>
          </w:p>
        </w:tc>
        <w:tc>
          <w:tcPr>
            <w:tcW w:w="1620" w:type="dxa"/>
          </w:tcPr>
          <w:p w14:paraId="12FEF11D" w14:textId="73E84FA7" w:rsidR="00AF061A" w:rsidRPr="00AF061A" w:rsidRDefault="00150D4A" w:rsidP="000845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</w:t>
            </w:r>
          </w:p>
        </w:tc>
      </w:tr>
      <w:tr w:rsidR="0008455E" w14:paraId="6761FE71" w14:textId="77777777" w:rsidTr="00826448">
        <w:tc>
          <w:tcPr>
            <w:tcW w:w="13948" w:type="dxa"/>
            <w:gridSpan w:val="3"/>
            <w:shd w:val="clear" w:color="auto" w:fill="FFD966" w:themeFill="accent4" w:themeFillTint="99"/>
          </w:tcPr>
          <w:p w14:paraId="479CD9F2" w14:textId="67C63798" w:rsidR="0008455E" w:rsidRDefault="0008455E">
            <w:r>
              <w:rPr>
                <w:b/>
                <w:bCs/>
              </w:rPr>
              <w:br/>
              <w:t>GET TRACTION</w:t>
            </w:r>
            <w:r>
              <w:rPr>
                <w:b/>
                <w:bCs/>
              </w:rPr>
              <w:br/>
            </w:r>
          </w:p>
        </w:tc>
      </w:tr>
      <w:tr w:rsidR="00AF061A" w14:paraId="13A31BBD" w14:textId="77777777" w:rsidTr="000B17F9">
        <w:tc>
          <w:tcPr>
            <w:tcW w:w="4673" w:type="dxa"/>
          </w:tcPr>
          <w:p w14:paraId="1857AF1C" w14:textId="6CF0446C" w:rsidR="00AF061A" w:rsidRPr="00AF061A" w:rsidRDefault="00AF061A" w:rsidP="00AF061A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Create awareness internally about the “why”, remove barriers – dispel myths, clarify </w:t>
            </w:r>
            <w:r w:rsidR="0008455E">
              <w:rPr>
                <w:rFonts w:asciiTheme="majorHAnsi" w:hAnsiTheme="majorHAnsi" w:cstheme="majorHAnsi"/>
              </w:rPr>
              <w:t>terms.</w:t>
            </w:r>
          </w:p>
          <w:p w14:paraId="035B7D59" w14:textId="5593694C" w:rsidR="00AF061A" w:rsidRPr="00AF061A" w:rsidRDefault="00AF061A" w:rsidP="00AF061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67E46013" w14:textId="4165C818" w:rsidR="00AF061A" w:rsidRPr="003A2538" w:rsidRDefault="003A2538">
            <w:pPr>
              <w:rPr>
                <w:i/>
                <w:iCs/>
                <w:sz w:val="18"/>
                <w:szCs w:val="18"/>
              </w:rPr>
            </w:pPr>
            <w:r w:rsidRPr="003A2538">
              <w:rPr>
                <w:i/>
                <w:iCs/>
                <w:sz w:val="18"/>
                <w:szCs w:val="18"/>
              </w:rPr>
              <w:t>Influence key leaders who will need to support this work – generally C-Suite. This should not be seen as an HR/OHS/Wellbeing initiative, but a whole of workplace initiative championed by all Executives to maximise wellbeing.</w:t>
            </w:r>
            <w:r>
              <w:rPr>
                <w:i/>
                <w:iCs/>
                <w:sz w:val="18"/>
                <w:szCs w:val="18"/>
              </w:rPr>
              <w:t xml:space="preserve">  C-Suite will need upskilling and clarity on the “why” from multiple perspectives.</w:t>
            </w:r>
          </w:p>
        </w:tc>
        <w:tc>
          <w:tcPr>
            <w:tcW w:w="1620" w:type="dxa"/>
          </w:tcPr>
          <w:p w14:paraId="3F46A134" w14:textId="6B51B25F" w:rsidR="00AF061A" w:rsidRDefault="00AF061A"/>
        </w:tc>
      </w:tr>
      <w:tr w:rsidR="0008455E" w14:paraId="55B4A7B7" w14:textId="77777777" w:rsidTr="00C63010">
        <w:tc>
          <w:tcPr>
            <w:tcW w:w="13948" w:type="dxa"/>
            <w:gridSpan w:val="3"/>
            <w:shd w:val="clear" w:color="auto" w:fill="FFD966" w:themeFill="accent4" w:themeFillTint="99"/>
          </w:tcPr>
          <w:p w14:paraId="18CAF549" w14:textId="77777777" w:rsidR="0008455E" w:rsidRPr="00AF061A" w:rsidRDefault="0008455E" w:rsidP="00AF061A">
            <w:r>
              <w:rPr>
                <w:b/>
                <w:bCs/>
              </w:rPr>
              <w:br/>
              <w:t>ROLL UP YOUR SLEEVES</w:t>
            </w:r>
          </w:p>
          <w:p w14:paraId="33FEEC1B" w14:textId="77777777" w:rsidR="0008455E" w:rsidRDefault="0008455E"/>
        </w:tc>
      </w:tr>
      <w:tr w:rsidR="00AF061A" w:rsidRPr="00AF061A" w14:paraId="767A361B" w14:textId="77777777" w:rsidTr="000B17F9">
        <w:tc>
          <w:tcPr>
            <w:tcW w:w="4673" w:type="dxa"/>
          </w:tcPr>
          <w:p w14:paraId="67FA3A97" w14:textId="084DF4F3" w:rsidR="00AF061A" w:rsidRPr="00AF061A" w:rsidRDefault="00AF061A" w:rsidP="00AF061A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2. Gather your change group together + Executive sponsor, get clear on the what, your current state, the how (systems) and the who. </w:t>
            </w:r>
          </w:p>
          <w:p w14:paraId="0E930481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3D4D4A97" w14:textId="48EDD26A" w:rsidR="00AF061A" w:rsidRPr="0008455E" w:rsidRDefault="00AF061A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Build capacity in this group</w:t>
            </w:r>
            <w:r w:rsidR="0008455E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.  </w:t>
            </w: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Work Safe Risk Management Worksheet</w:t>
            </w:r>
          </w:p>
          <w:p w14:paraId="3920875B" w14:textId="241C486D" w:rsidR="00AF061A" w:rsidRPr="0008455E" w:rsidRDefault="00AF061A" w:rsidP="0008455E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Existing OHSMS</w:t>
            </w:r>
            <w:r w:rsidR="0008455E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. </w:t>
            </w: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Existing data (qual &amp; quant</w:t>
            </w:r>
            <w:r w:rsidR="0008455E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). Understand psychosocial hazard</w:t>
            </w:r>
            <w:r w:rsidR="00FC18AB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s</w:t>
            </w:r>
            <w:r w:rsidR="0008455E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, work related stress </w:t>
            </w:r>
            <w:r w:rsidR="003A2538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definitions,</w:t>
            </w:r>
            <w:r w:rsidR="0008455E"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and lists of hazards.  Understand identification and assessment process for your workplace.  Explore meaningful controls.</w:t>
            </w:r>
            <w:r w:rsidR="008B2CF7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Understand the ways you can address workload (work design, SMART models</w:t>
            </w:r>
            <w:r w:rsidR="00AD5FA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, THV’s Workload Management programs.)</w:t>
            </w:r>
          </w:p>
        </w:tc>
        <w:tc>
          <w:tcPr>
            <w:tcW w:w="1620" w:type="dxa"/>
          </w:tcPr>
          <w:p w14:paraId="2FF57445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</w:tr>
      <w:tr w:rsidR="00AF061A" w:rsidRPr="00AF061A" w14:paraId="2D699D57" w14:textId="77777777" w:rsidTr="000B17F9">
        <w:tc>
          <w:tcPr>
            <w:tcW w:w="4673" w:type="dxa"/>
          </w:tcPr>
          <w:p w14:paraId="655B8D33" w14:textId="0234DC24" w:rsidR="00AF061A" w:rsidRPr="00AF061A" w:rsidRDefault="00AF061A" w:rsidP="00AF061A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>3</w:t>
            </w:r>
            <w:r w:rsidRPr="00AF061A">
              <w:rPr>
                <w:rFonts w:asciiTheme="majorHAnsi" w:hAnsiTheme="majorHAnsi" w:cstheme="majorHAnsi"/>
                <w:b/>
                <w:bCs/>
                <w:i/>
                <w:iCs/>
              </w:rPr>
              <w:t>.</w:t>
            </w:r>
            <w:r w:rsidRPr="00AF061A">
              <w:rPr>
                <w:rFonts w:asciiTheme="majorHAnsi" w:hAnsiTheme="majorHAnsi" w:cstheme="majorHAnsi"/>
              </w:rPr>
              <w:t xml:space="preserve"> Communicate – get on the front foot, demystify, and clarify</w:t>
            </w:r>
          </w:p>
          <w:p w14:paraId="497AAF1B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6B89F8C8" w14:textId="7D0F1657" w:rsidR="0008455E" w:rsidRPr="0008455E" w:rsidRDefault="0008455E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To HSRs and OHS Committee (If not already)</w:t>
            </w:r>
          </w:p>
          <w:p w14:paraId="029C7E0C" w14:textId="39FFD71D" w:rsidR="00AF061A" w:rsidRPr="0008455E" w:rsidRDefault="00AF061A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To whole of workplace. Clarify myths, misunderstandings.  Demystify language, psychological </w:t>
            </w:r>
            <w:proofErr w:type="gramStart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health</w:t>
            </w:r>
            <w:proofErr w:type="gramEnd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and safety. </w:t>
            </w:r>
            <w:r w:rsidR="007B1856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Clarify stretch v stress, uncomfortable V unhelpful V unsafe.</w:t>
            </w:r>
          </w:p>
        </w:tc>
        <w:tc>
          <w:tcPr>
            <w:tcW w:w="1620" w:type="dxa"/>
          </w:tcPr>
          <w:p w14:paraId="489C40AA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</w:tr>
      <w:tr w:rsidR="00AF061A" w:rsidRPr="00AF061A" w14:paraId="17B9E9D4" w14:textId="77777777" w:rsidTr="000B17F9">
        <w:tc>
          <w:tcPr>
            <w:tcW w:w="4673" w:type="dxa"/>
          </w:tcPr>
          <w:p w14:paraId="5E1861D7" w14:textId="717CAA4F" w:rsidR="00AF061A" w:rsidRPr="00AF061A" w:rsidRDefault="00AF061A" w:rsidP="00AF061A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4. Consult with HSRs and </w:t>
            </w:r>
            <w:r w:rsidR="0008455E">
              <w:rPr>
                <w:rFonts w:asciiTheme="majorHAnsi" w:hAnsiTheme="majorHAnsi" w:cstheme="majorHAnsi"/>
              </w:rPr>
              <w:t>broader workforce (EOI / open kiosks, sync/async ways, other opportunities)</w:t>
            </w:r>
            <w:r w:rsidRPr="00AF061A">
              <w:rPr>
                <w:rFonts w:asciiTheme="majorHAnsi" w:hAnsiTheme="majorHAnsi" w:cstheme="majorHAnsi"/>
              </w:rPr>
              <w:t xml:space="preserve"> on PS hazards and controls</w:t>
            </w:r>
          </w:p>
          <w:p w14:paraId="47C5EC72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0F0CA317" w14:textId="29F3F8C8" w:rsidR="00AF061A" w:rsidRPr="0008455E" w:rsidRDefault="0008455E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An OHS requirement (HSRs).  Bring them in earlier if part of your change group. Give opportunity for focused topics – </w:t>
            </w:r>
            <w:proofErr w:type="gramStart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i.e.</w:t>
            </w:r>
            <w:proofErr w:type="gramEnd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workload management. Look for change champions (solution focused and influential) in these groups.</w:t>
            </w:r>
          </w:p>
        </w:tc>
        <w:tc>
          <w:tcPr>
            <w:tcW w:w="1620" w:type="dxa"/>
          </w:tcPr>
          <w:p w14:paraId="72D95C61" w14:textId="77777777" w:rsidR="00AF061A" w:rsidRPr="00AF061A" w:rsidRDefault="00AF061A">
            <w:pPr>
              <w:rPr>
                <w:rFonts w:asciiTheme="majorHAnsi" w:hAnsiTheme="majorHAnsi" w:cstheme="majorHAnsi"/>
              </w:rPr>
            </w:pPr>
          </w:p>
        </w:tc>
      </w:tr>
      <w:tr w:rsidR="0008455E" w14:paraId="6B70E44A" w14:textId="77777777" w:rsidTr="00264F88">
        <w:tc>
          <w:tcPr>
            <w:tcW w:w="13948" w:type="dxa"/>
            <w:gridSpan w:val="3"/>
            <w:shd w:val="clear" w:color="auto" w:fill="FFD966" w:themeFill="accent4" w:themeFillTint="99"/>
          </w:tcPr>
          <w:p w14:paraId="5C051247" w14:textId="499B15CB" w:rsidR="0008455E" w:rsidRPr="00AF061A" w:rsidRDefault="0008455E" w:rsidP="00AF061A">
            <w:r>
              <w:rPr>
                <w:b/>
                <w:bCs/>
              </w:rPr>
              <w:br/>
              <w:t>MEANINGFUL CHANGE</w:t>
            </w:r>
          </w:p>
          <w:p w14:paraId="5C6D62B7" w14:textId="77777777" w:rsidR="0008455E" w:rsidRDefault="0008455E"/>
        </w:tc>
      </w:tr>
      <w:tr w:rsidR="00AF061A" w14:paraId="728F7016" w14:textId="77777777" w:rsidTr="000B17F9">
        <w:tc>
          <w:tcPr>
            <w:tcW w:w="4673" w:type="dxa"/>
          </w:tcPr>
          <w:p w14:paraId="6E442424" w14:textId="37DF35F3" w:rsidR="00AF061A" w:rsidRPr="00AF061A" w:rsidRDefault="00AF061A" w:rsidP="00AF061A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>5. Build capacity - train up leaders, they’re on the tightrope</w:t>
            </w:r>
            <w:r w:rsidR="003A2538" w:rsidRPr="003A2538">
              <w:rPr>
                <w:rFonts w:asciiTheme="majorHAnsi" w:hAnsiTheme="majorHAnsi" w:cstheme="majorHAnsi"/>
              </w:rPr>
              <w:t xml:space="preserve"> trying to navigate wellbeing and performance expectations.</w:t>
            </w:r>
          </w:p>
          <w:p w14:paraId="64F2D49B" w14:textId="77777777" w:rsidR="00AF061A" w:rsidRDefault="00AF061A"/>
        </w:tc>
        <w:tc>
          <w:tcPr>
            <w:tcW w:w="7655" w:type="dxa"/>
          </w:tcPr>
          <w:p w14:paraId="52D32389" w14:textId="4295E603" w:rsidR="00AF061A" w:rsidRDefault="0008455E"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Don’t de-centralise – and put onus on people leaders. Middle manager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s</w:t>
            </w: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often bear the brunt of these initiatives. This work requires system-based change, Executive sponsorship and modelling, and supported development of 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all leaders </w:t>
            </w: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to understand, identify and manage psychosocial hazards.</w:t>
            </w:r>
            <w:r>
              <w:t xml:space="preserve"> </w:t>
            </w:r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Also consider culture, situational context that influences collaborative problem solving. </w:t>
            </w:r>
            <w:proofErr w:type="gramStart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I.e.</w:t>
            </w:r>
            <w:proofErr w:type="gramEnd"/>
            <w:r w:rsidRPr="0008455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psychological safety. Current change load.</w:t>
            </w:r>
          </w:p>
        </w:tc>
        <w:tc>
          <w:tcPr>
            <w:tcW w:w="1620" w:type="dxa"/>
          </w:tcPr>
          <w:p w14:paraId="090727D3" w14:textId="77777777" w:rsidR="00AF061A" w:rsidRDefault="00AF061A"/>
        </w:tc>
      </w:tr>
      <w:tr w:rsidR="00AF061A" w14:paraId="2E1F5B6F" w14:textId="77777777" w:rsidTr="000B17F9">
        <w:tc>
          <w:tcPr>
            <w:tcW w:w="4673" w:type="dxa"/>
          </w:tcPr>
          <w:p w14:paraId="03CC032B" w14:textId="09258D96" w:rsidR="00AF061A" w:rsidRDefault="00AF061A">
            <w:r w:rsidRPr="003A2538">
              <w:rPr>
                <w:rFonts w:asciiTheme="majorHAnsi" w:hAnsiTheme="majorHAnsi" w:cstheme="majorHAnsi"/>
              </w:rPr>
              <w:t>6. Commit to systemic and behavioural change (over time with resources)</w:t>
            </w:r>
            <w:r w:rsidR="003A2538" w:rsidRPr="003A2538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7655" w:type="dxa"/>
          </w:tcPr>
          <w:p w14:paraId="44A22FCF" w14:textId="6C81F086" w:rsidR="00AF061A" w:rsidRDefault="003A2538">
            <w:r w:rsidRPr="003A253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Recognise the systemic and behavioural shifts required to do this thoroughly and to obtain the benefits to individual wellbeing and productivity.  Identify short term measures to help sustain the </w:t>
            </w:r>
            <w:r w:rsidR="00F971DE" w:rsidRPr="003A253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long-term</w:t>
            </w:r>
            <w:r w:rsidRPr="003A253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focus and rewards. Be open about </w:t>
            </w:r>
            <w:r w:rsidR="00073C1C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t</w:t>
            </w:r>
            <w:r w:rsidRPr="003A253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his not being quick fix work.</w:t>
            </w:r>
          </w:p>
        </w:tc>
        <w:tc>
          <w:tcPr>
            <w:tcW w:w="1620" w:type="dxa"/>
          </w:tcPr>
          <w:p w14:paraId="1D10F1F7" w14:textId="77777777" w:rsidR="00AF061A" w:rsidRDefault="00AF061A"/>
        </w:tc>
      </w:tr>
    </w:tbl>
    <w:p w14:paraId="7424AD7C" w14:textId="77777777" w:rsidR="00FC18AB" w:rsidRDefault="00FC18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7655"/>
        <w:gridCol w:w="1620"/>
      </w:tblGrid>
      <w:tr w:rsidR="000B17F9" w:rsidRPr="00AF061A" w14:paraId="6E962352" w14:textId="77777777" w:rsidTr="000B17F9">
        <w:tc>
          <w:tcPr>
            <w:tcW w:w="4673" w:type="dxa"/>
          </w:tcPr>
          <w:p w14:paraId="46EFBA82" w14:textId="77777777" w:rsidR="000B17F9" w:rsidRPr="00AF061A" w:rsidRDefault="000B17F9" w:rsidP="00904607">
            <w:pPr>
              <w:rPr>
                <w:b/>
                <w:bCs/>
              </w:rPr>
            </w:pPr>
          </w:p>
        </w:tc>
        <w:tc>
          <w:tcPr>
            <w:tcW w:w="7655" w:type="dxa"/>
          </w:tcPr>
          <w:p w14:paraId="75D2FAEB" w14:textId="77777777" w:rsidR="000B17F9" w:rsidRPr="00AF061A" w:rsidRDefault="000B17F9" w:rsidP="00904607">
            <w:pPr>
              <w:jc w:val="center"/>
              <w:rPr>
                <w:b/>
                <w:bCs/>
              </w:rPr>
            </w:pPr>
            <w:r w:rsidRPr="00AF061A">
              <w:rPr>
                <w:b/>
                <w:bCs/>
              </w:rPr>
              <w:t>WHAT</w:t>
            </w:r>
          </w:p>
        </w:tc>
        <w:tc>
          <w:tcPr>
            <w:tcW w:w="1620" w:type="dxa"/>
          </w:tcPr>
          <w:p w14:paraId="39F10694" w14:textId="77777777" w:rsidR="000B17F9" w:rsidRPr="00AF061A" w:rsidRDefault="000B17F9" w:rsidP="009046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WHO</w:t>
            </w:r>
          </w:p>
        </w:tc>
      </w:tr>
      <w:tr w:rsidR="000B17F9" w14:paraId="79E02566" w14:textId="77777777" w:rsidTr="00904607">
        <w:tc>
          <w:tcPr>
            <w:tcW w:w="13948" w:type="dxa"/>
            <w:gridSpan w:val="3"/>
            <w:shd w:val="clear" w:color="auto" w:fill="FFD966" w:themeFill="accent4" w:themeFillTint="99"/>
          </w:tcPr>
          <w:p w14:paraId="10D5EC8A" w14:textId="77777777" w:rsidR="000B17F9" w:rsidRDefault="000B17F9" w:rsidP="00904607">
            <w:r>
              <w:rPr>
                <w:b/>
                <w:bCs/>
              </w:rPr>
              <w:br/>
              <w:t>GET TRACTION</w:t>
            </w:r>
            <w:r>
              <w:rPr>
                <w:b/>
                <w:bCs/>
              </w:rPr>
              <w:br/>
            </w:r>
          </w:p>
        </w:tc>
      </w:tr>
      <w:tr w:rsidR="000B17F9" w14:paraId="73C77CD7" w14:textId="77777777" w:rsidTr="000B17F9">
        <w:tc>
          <w:tcPr>
            <w:tcW w:w="4673" w:type="dxa"/>
          </w:tcPr>
          <w:p w14:paraId="2707ADE5" w14:textId="77777777" w:rsidR="00AF061A" w:rsidRPr="00AF061A" w:rsidRDefault="00AF061A" w:rsidP="00903E1C">
            <w:pPr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Create awareness internally about the “why”, remove barriers – dispel myths, clarify </w:t>
            </w:r>
            <w:r w:rsidR="000B17F9">
              <w:rPr>
                <w:rFonts w:asciiTheme="majorHAnsi" w:hAnsiTheme="majorHAnsi" w:cstheme="majorHAnsi"/>
              </w:rPr>
              <w:t>terms.</w:t>
            </w:r>
          </w:p>
          <w:p w14:paraId="6CA6FD22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5D4A047A" w14:textId="4B067E45" w:rsidR="000B17F9" w:rsidRPr="003A2538" w:rsidRDefault="000B17F9" w:rsidP="00904607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20" w:type="dxa"/>
          </w:tcPr>
          <w:p w14:paraId="7B9A915C" w14:textId="77777777" w:rsidR="000B17F9" w:rsidRDefault="000B17F9" w:rsidP="00904607"/>
        </w:tc>
      </w:tr>
      <w:tr w:rsidR="000B17F9" w14:paraId="21ED4135" w14:textId="77777777" w:rsidTr="00904607">
        <w:tc>
          <w:tcPr>
            <w:tcW w:w="13948" w:type="dxa"/>
            <w:gridSpan w:val="3"/>
            <w:shd w:val="clear" w:color="auto" w:fill="FFD966" w:themeFill="accent4" w:themeFillTint="99"/>
          </w:tcPr>
          <w:p w14:paraId="470D3F36" w14:textId="77777777" w:rsidR="000B17F9" w:rsidRPr="00AF061A" w:rsidRDefault="000B17F9" w:rsidP="00904607">
            <w:r>
              <w:rPr>
                <w:b/>
                <w:bCs/>
              </w:rPr>
              <w:br/>
              <w:t>ROLL UP YOUR SLEEVES</w:t>
            </w:r>
          </w:p>
          <w:p w14:paraId="623EE53D" w14:textId="77777777" w:rsidR="000B17F9" w:rsidRDefault="000B17F9" w:rsidP="00904607"/>
        </w:tc>
      </w:tr>
      <w:tr w:rsidR="000B17F9" w:rsidRPr="00AF061A" w14:paraId="71DF04DA" w14:textId="77777777" w:rsidTr="000B17F9">
        <w:tc>
          <w:tcPr>
            <w:tcW w:w="4673" w:type="dxa"/>
          </w:tcPr>
          <w:p w14:paraId="25EB653F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2. Gather your change group together + Executive sponsor, get clear on the what, your current state, the how (systems) and the who. </w:t>
            </w:r>
          </w:p>
          <w:p w14:paraId="5297F74E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6B8D1C5D" w14:textId="62656672" w:rsidR="000B17F9" w:rsidRPr="0008455E" w:rsidRDefault="000B17F9" w:rsidP="00904607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620" w:type="dxa"/>
          </w:tcPr>
          <w:p w14:paraId="1F85FA46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</w:tr>
      <w:tr w:rsidR="000B17F9" w:rsidRPr="00AF061A" w14:paraId="5F9A54EB" w14:textId="77777777" w:rsidTr="000B17F9">
        <w:tc>
          <w:tcPr>
            <w:tcW w:w="4673" w:type="dxa"/>
          </w:tcPr>
          <w:p w14:paraId="13CA0C98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>3</w:t>
            </w:r>
            <w:r w:rsidRPr="00AF061A">
              <w:rPr>
                <w:rFonts w:asciiTheme="majorHAnsi" w:hAnsiTheme="majorHAnsi" w:cstheme="majorHAnsi"/>
                <w:b/>
                <w:bCs/>
                <w:i/>
                <w:iCs/>
              </w:rPr>
              <w:t>.</w:t>
            </w:r>
            <w:r w:rsidRPr="00AF061A">
              <w:rPr>
                <w:rFonts w:asciiTheme="majorHAnsi" w:hAnsiTheme="majorHAnsi" w:cstheme="majorHAnsi"/>
              </w:rPr>
              <w:t xml:space="preserve"> Communicate – get on the front foot, demystify, and clarify</w:t>
            </w:r>
          </w:p>
          <w:p w14:paraId="4951DE30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0EE6E5B4" w14:textId="39D10CEE" w:rsidR="000B17F9" w:rsidRPr="0008455E" w:rsidRDefault="000B17F9" w:rsidP="00904607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620" w:type="dxa"/>
          </w:tcPr>
          <w:p w14:paraId="4B06D15A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</w:tr>
      <w:tr w:rsidR="000B17F9" w:rsidRPr="00AF061A" w14:paraId="758FB921" w14:textId="77777777" w:rsidTr="000B17F9">
        <w:tc>
          <w:tcPr>
            <w:tcW w:w="4673" w:type="dxa"/>
          </w:tcPr>
          <w:p w14:paraId="3EB89270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 xml:space="preserve">4. Consult with HSRs and </w:t>
            </w:r>
            <w:r>
              <w:rPr>
                <w:rFonts w:asciiTheme="majorHAnsi" w:hAnsiTheme="majorHAnsi" w:cstheme="majorHAnsi"/>
              </w:rPr>
              <w:t>broader workforce (EOI / open kiosks, sync/async ways, other opportunities)</w:t>
            </w:r>
            <w:r w:rsidRPr="00AF061A">
              <w:rPr>
                <w:rFonts w:asciiTheme="majorHAnsi" w:hAnsiTheme="majorHAnsi" w:cstheme="majorHAnsi"/>
              </w:rPr>
              <w:t xml:space="preserve"> on PS hazards and controls</w:t>
            </w:r>
          </w:p>
          <w:p w14:paraId="49D6AF13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655" w:type="dxa"/>
          </w:tcPr>
          <w:p w14:paraId="4C074451" w14:textId="23E9E1A7" w:rsidR="000B17F9" w:rsidRPr="0008455E" w:rsidRDefault="000B17F9" w:rsidP="00904607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620" w:type="dxa"/>
          </w:tcPr>
          <w:p w14:paraId="4DD4BE27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</w:p>
        </w:tc>
      </w:tr>
      <w:tr w:rsidR="000B17F9" w14:paraId="5CDEF68D" w14:textId="77777777" w:rsidTr="00904607">
        <w:tc>
          <w:tcPr>
            <w:tcW w:w="13948" w:type="dxa"/>
            <w:gridSpan w:val="3"/>
            <w:shd w:val="clear" w:color="auto" w:fill="FFD966" w:themeFill="accent4" w:themeFillTint="99"/>
          </w:tcPr>
          <w:p w14:paraId="25BE1476" w14:textId="77777777" w:rsidR="000B17F9" w:rsidRPr="00AF061A" w:rsidRDefault="000B17F9" w:rsidP="00904607">
            <w:r>
              <w:rPr>
                <w:b/>
                <w:bCs/>
              </w:rPr>
              <w:br/>
              <w:t>MEANINGFUL CHANGE</w:t>
            </w:r>
          </w:p>
          <w:p w14:paraId="0823B4E2" w14:textId="77777777" w:rsidR="000B17F9" w:rsidRDefault="000B17F9" w:rsidP="00904607"/>
        </w:tc>
      </w:tr>
      <w:tr w:rsidR="000B17F9" w14:paraId="1C743896" w14:textId="77777777" w:rsidTr="000B17F9">
        <w:tc>
          <w:tcPr>
            <w:tcW w:w="4673" w:type="dxa"/>
          </w:tcPr>
          <w:p w14:paraId="70A55EC1" w14:textId="77777777" w:rsidR="000B17F9" w:rsidRPr="00AF061A" w:rsidRDefault="000B17F9" w:rsidP="00904607">
            <w:pPr>
              <w:rPr>
                <w:rFonts w:asciiTheme="majorHAnsi" w:hAnsiTheme="majorHAnsi" w:cstheme="majorHAnsi"/>
              </w:rPr>
            </w:pPr>
            <w:r w:rsidRPr="00AF061A">
              <w:rPr>
                <w:rFonts w:asciiTheme="majorHAnsi" w:hAnsiTheme="majorHAnsi" w:cstheme="majorHAnsi"/>
              </w:rPr>
              <w:t>5. Build capacity - train up leaders, they’re on the tightrope</w:t>
            </w:r>
            <w:r w:rsidRPr="003A2538">
              <w:rPr>
                <w:rFonts w:asciiTheme="majorHAnsi" w:hAnsiTheme="majorHAnsi" w:cstheme="majorHAnsi"/>
              </w:rPr>
              <w:t xml:space="preserve"> trying to navigate wellbeing and performance expectations.</w:t>
            </w:r>
          </w:p>
          <w:p w14:paraId="133102A9" w14:textId="77777777" w:rsidR="000B17F9" w:rsidRDefault="000B17F9" w:rsidP="00904607"/>
        </w:tc>
        <w:tc>
          <w:tcPr>
            <w:tcW w:w="7655" w:type="dxa"/>
          </w:tcPr>
          <w:p w14:paraId="5A3FBA46" w14:textId="473DDAF0" w:rsidR="000B17F9" w:rsidRDefault="000B17F9" w:rsidP="00904607"/>
        </w:tc>
        <w:tc>
          <w:tcPr>
            <w:tcW w:w="1620" w:type="dxa"/>
          </w:tcPr>
          <w:p w14:paraId="59DA0810" w14:textId="77777777" w:rsidR="000B17F9" w:rsidRDefault="000B17F9" w:rsidP="00904607"/>
        </w:tc>
      </w:tr>
      <w:tr w:rsidR="000B17F9" w14:paraId="617B006E" w14:textId="77777777" w:rsidTr="000B17F9">
        <w:tc>
          <w:tcPr>
            <w:tcW w:w="4673" w:type="dxa"/>
          </w:tcPr>
          <w:p w14:paraId="31ABA61D" w14:textId="77777777" w:rsidR="000B17F9" w:rsidRDefault="000B17F9" w:rsidP="00904607">
            <w:r w:rsidRPr="003A2538">
              <w:rPr>
                <w:rFonts w:asciiTheme="majorHAnsi" w:hAnsiTheme="majorHAnsi" w:cstheme="majorHAnsi"/>
              </w:rPr>
              <w:t>6. Commit to systemic and behavioural change (over time with resources).</w:t>
            </w:r>
          </w:p>
        </w:tc>
        <w:tc>
          <w:tcPr>
            <w:tcW w:w="7655" w:type="dxa"/>
          </w:tcPr>
          <w:p w14:paraId="56A6436B" w14:textId="77777777" w:rsidR="000B17F9" w:rsidRDefault="000B17F9" w:rsidP="00904607"/>
          <w:p w14:paraId="02FA4F61" w14:textId="77777777" w:rsidR="000B17F9" w:rsidRDefault="000B17F9" w:rsidP="00904607"/>
          <w:p w14:paraId="21107549" w14:textId="1399481B" w:rsidR="000B17F9" w:rsidRDefault="000B17F9" w:rsidP="00904607"/>
        </w:tc>
        <w:tc>
          <w:tcPr>
            <w:tcW w:w="1620" w:type="dxa"/>
          </w:tcPr>
          <w:p w14:paraId="0F7047B1" w14:textId="77777777" w:rsidR="000B17F9" w:rsidRDefault="000B17F9" w:rsidP="00904607"/>
        </w:tc>
      </w:tr>
    </w:tbl>
    <w:p w14:paraId="441F0133" w14:textId="77777777" w:rsidR="00C56A54" w:rsidRDefault="00C56A54"/>
    <w:sectPr w:rsidR="00C56A54" w:rsidSect="00AF061A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289470" w14:textId="77777777" w:rsidR="00AE2C68" w:rsidRDefault="00AE2C68" w:rsidP="00073C1C">
      <w:pPr>
        <w:spacing w:after="0" w:line="240" w:lineRule="auto"/>
      </w:pPr>
      <w:r>
        <w:separator/>
      </w:r>
    </w:p>
  </w:endnote>
  <w:endnote w:type="continuationSeparator" w:id="0">
    <w:p w14:paraId="64092924" w14:textId="77777777" w:rsidR="00AE2C68" w:rsidRDefault="00AE2C68" w:rsidP="0007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02228" w14:textId="06460BD6" w:rsidR="00073C1C" w:rsidRPr="00FC18AB" w:rsidRDefault="00903E1C" w:rsidP="00FC18AB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Developed by Tanya Heaney-Voogt</w:t>
    </w:r>
    <w:r w:rsidR="004D3A22">
      <w:rPr>
        <w:sz w:val="28"/>
        <w:szCs w:val="28"/>
      </w:rPr>
      <w:t xml:space="preserve"> </w:t>
    </w:r>
    <w:r w:rsidR="004D3A22">
      <w:rPr>
        <w:rFonts w:cstheme="minorHAnsi"/>
        <w:sz w:val="28"/>
        <w:szCs w:val="28"/>
      </w:rPr>
      <w:t>©</w:t>
    </w:r>
    <w:r w:rsidR="004D3A22">
      <w:rPr>
        <w:sz w:val="28"/>
        <w:szCs w:val="28"/>
      </w:rPr>
      <w:t>2023</w:t>
    </w:r>
    <w:r>
      <w:rPr>
        <w:sz w:val="28"/>
        <w:szCs w:val="28"/>
      </w:rPr>
      <w:br/>
    </w:r>
    <w:hyperlink r:id="rId1" w:history="1">
      <w:r w:rsidRPr="001026FD">
        <w:rPr>
          <w:rStyle w:val="Hyperlink"/>
          <w:sz w:val="28"/>
          <w:szCs w:val="28"/>
        </w:rPr>
        <w:t>www.tanyaheaneyvoogt.com</w:t>
      </w:r>
    </w:hyperlink>
    <w:r w:rsidR="00FC18AB" w:rsidRPr="00FC18AB">
      <w:rPr>
        <w:sz w:val="28"/>
        <w:szCs w:val="28"/>
      </w:rPr>
      <w:t xml:space="preserve">      </w:t>
    </w:r>
    <w:hyperlink r:id="rId2" w:history="1">
      <w:r w:rsidR="00FC18AB" w:rsidRPr="00FC18AB">
        <w:rPr>
          <w:rStyle w:val="Hyperlink"/>
          <w:sz w:val="28"/>
          <w:szCs w:val="28"/>
        </w:rPr>
        <w:t>tanya@tanyaheaneyvoogt.com</w:t>
      </w:r>
    </w:hyperlink>
    <w:r w:rsidR="00FC18AB" w:rsidRPr="00FC18AB">
      <w:rPr>
        <w:sz w:val="28"/>
        <w:szCs w:val="28"/>
      </w:rPr>
      <w:t xml:space="preserve">    0438 513 929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10595" w14:textId="77777777" w:rsidR="00AE2C68" w:rsidRDefault="00AE2C68" w:rsidP="00073C1C">
      <w:pPr>
        <w:spacing w:after="0" w:line="240" w:lineRule="auto"/>
      </w:pPr>
      <w:r>
        <w:separator/>
      </w:r>
    </w:p>
  </w:footnote>
  <w:footnote w:type="continuationSeparator" w:id="0">
    <w:p w14:paraId="09FB98D9" w14:textId="77777777" w:rsidR="00AE2C68" w:rsidRDefault="00AE2C68" w:rsidP="00073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3948"/>
    </w:tblGrid>
    <w:tr w:rsidR="00FC18AB" w:rsidRPr="00AF061A" w14:paraId="15828285" w14:textId="77777777" w:rsidTr="0019117B">
      <w:tc>
        <w:tcPr>
          <w:tcW w:w="13948" w:type="dxa"/>
          <w:shd w:val="clear" w:color="auto" w:fill="009900"/>
        </w:tcPr>
        <w:p w14:paraId="17EDB697" w14:textId="77777777" w:rsidR="00FC18AB" w:rsidRPr="00AF061A" w:rsidRDefault="00FC18AB" w:rsidP="00FC18AB">
          <w:pPr>
            <w:jc w:val="center"/>
            <w:rPr>
              <w:sz w:val="44"/>
              <w:szCs w:val="44"/>
            </w:rPr>
          </w:pPr>
          <w:r w:rsidRPr="0008455E">
            <w:rPr>
              <w:b/>
              <w:bCs/>
              <w:color w:val="FFFFFF" w:themeColor="background1"/>
              <w:sz w:val="36"/>
              <w:szCs w:val="36"/>
              <w:lang w:val="en-GB"/>
            </w:rPr>
            <w:t>The 6 Step Meaningful Change Plan</w:t>
          </w:r>
          <w:r>
            <w:rPr>
              <w:b/>
              <w:bCs/>
              <w:color w:val="FFFFFF" w:themeColor="background1"/>
              <w:sz w:val="36"/>
              <w:szCs w:val="36"/>
              <w:lang w:val="en-GB"/>
            </w:rPr>
            <w:t xml:space="preserve"> - </w:t>
          </w:r>
          <w:r w:rsidRPr="0008455E">
            <w:rPr>
              <w:b/>
              <w:bCs/>
              <w:color w:val="FFFFFF" w:themeColor="background1"/>
              <w:sz w:val="36"/>
              <w:szCs w:val="36"/>
              <w:lang w:val="en-GB"/>
            </w:rPr>
            <w:t xml:space="preserve">Psychological Health and Safety </w:t>
          </w:r>
        </w:p>
      </w:tc>
    </w:tr>
  </w:tbl>
  <w:p w14:paraId="22C40B4E" w14:textId="77777777" w:rsidR="00FC18AB" w:rsidRDefault="00FC18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DF3D65"/>
    <w:multiLevelType w:val="hybridMultilevel"/>
    <w:tmpl w:val="0B7C0DBA"/>
    <w:lvl w:ilvl="0" w:tplc="DF74F1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2563E7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542216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1F0A9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D7C0CD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84A6DD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CE96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B4EBC2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3E459C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1644C8F"/>
    <w:multiLevelType w:val="hybridMultilevel"/>
    <w:tmpl w:val="0B7C0D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001934157">
    <w:abstractNumId w:val="0"/>
  </w:num>
  <w:num w:numId="2" w16cid:durableId="1542135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1A"/>
    <w:rsid w:val="00073C1C"/>
    <w:rsid w:val="0008455E"/>
    <w:rsid w:val="000B17F9"/>
    <w:rsid w:val="00150D4A"/>
    <w:rsid w:val="00240485"/>
    <w:rsid w:val="00363F56"/>
    <w:rsid w:val="003A2538"/>
    <w:rsid w:val="004936F6"/>
    <w:rsid w:val="004D3A22"/>
    <w:rsid w:val="005B0215"/>
    <w:rsid w:val="006B0842"/>
    <w:rsid w:val="007B1856"/>
    <w:rsid w:val="008B2CF7"/>
    <w:rsid w:val="00903E1C"/>
    <w:rsid w:val="009651AA"/>
    <w:rsid w:val="00AD5FAE"/>
    <w:rsid w:val="00AE2C68"/>
    <w:rsid w:val="00AF061A"/>
    <w:rsid w:val="00C50CF5"/>
    <w:rsid w:val="00C56A54"/>
    <w:rsid w:val="00E960FA"/>
    <w:rsid w:val="00F971DE"/>
    <w:rsid w:val="00FC18AB"/>
    <w:rsid w:val="00FD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06EA"/>
  <w15:chartTrackingRefBased/>
  <w15:docId w15:val="{2A2DB9A7-2ABD-4AE1-BA9A-41C8E021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0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3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C1C"/>
  </w:style>
  <w:style w:type="paragraph" w:styleId="Footer">
    <w:name w:val="footer"/>
    <w:basedOn w:val="Normal"/>
    <w:link w:val="FooterChar"/>
    <w:uiPriority w:val="99"/>
    <w:unhideWhenUsed/>
    <w:rsid w:val="00073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C1C"/>
  </w:style>
  <w:style w:type="character" w:styleId="Hyperlink">
    <w:name w:val="Hyperlink"/>
    <w:basedOn w:val="DefaultParagraphFont"/>
    <w:uiPriority w:val="99"/>
    <w:unhideWhenUsed/>
    <w:rsid w:val="00FC18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7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4277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nya@tanyaheaneyvoogt.com" TargetMode="External"/><Relationship Id="rId1" Type="http://schemas.openxmlformats.org/officeDocument/2006/relationships/hyperlink" Target="http://www.tanyaheaneyvoog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Heaney-Voogt</dc:creator>
  <cp:keywords/>
  <dc:description/>
  <cp:lastModifiedBy>Tanya</cp:lastModifiedBy>
  <cp:revision>2</cp:revision>
  <cp:lastPrinted>2023-09-29T02:05:00Z</cp:lastPrinted>
  <dcterms:created xsi:type="dcterms:W3CDTF">2025-08-17T05:06:00Z</dcterms:created>
  <dcterms:modified xsi:type="dcterms:W3CDTF">2025-08-17T05:06:00Z</dcterms:modified>
</cp:coreProperties>
</file>